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18129E" w14:textId="77777777" w:rsidR="00537A0D" w:rsidRDefault="00537A0D" w:rsidP="00A50A56">
      <w:pPr>
        <w:pStyle w:val="ListParagraph"/>
        <w:numPr>
          <w:ilvl w:val="0"/>
          <w:numId w:val="1"/>
        </w:numPr>
        <w:tabs>
          <w:tab w:val="clear" w:pos="720"/>
          <w:tab w:val="left" w:pos="700"/>
        </w:tabs>
        <w:spacing w:before="240"/>
        <w:ind w:left="360"/>
        <w:rPr>
          <w:lang w:val="en-AU"/>
        </w:rPr>
      </w:pPr>
      <w:bookmarkStart w:id="0" w:name="_GoBack"/>
      <w:bookmarkEnd w:id="0"/>
      <w:r>
        <w:rPr>
          <w:lang w:val="en-AU"/>
        </w:rPr>
        <w:t xml:space="preserve">The </w:t>
      </w:r>
      <w:r>
        <w:rPr>
          <w:spacing w:val="-4"/>
        </w:rPr>
        <w:t xml:space="preserve">Barrett Adolescent </w:t>
      </w:r>
      <w:r>
        <w:rPr>
          <w:spacing w:val="-3"/>
        </w:rPr>
        <w:t>Centre (</w:t>
      </w:r>
      <w:r>
        <w:rPr>
          <w:lang w:val="en-AU"/>
        </w:rPr>
        <w:t xml:space="preserve">BAC) was Queensland’s only long-term residential mental health facility for adolescents at risk of suicide. Following the closure of the BAC in January 2014, three former patients died by suspected suicide, which led to widespread community concern about the processes and supports offered to patients around the closure. The Queensland Government established a </w:t>
      </w:r>
      <w:r>
        <w:rPr>
          <w:spacing w:val="-4"/>
        </w:rPr>
        <w:t xml:space="preserve">Commission </w:t>
      </w:r>
      <w:r>
        <w:rPr>
          <w:spacing w:val="-3"/>
        </w:rPr>
        <w:t xml:space="preserve">of Inquiry </w:t>
      </w:r>
      <w:r>
        <w:rPr>
          <w:spacing w:val="-4"/>
        </w:rPr>
        <w:t>(COI) into the closure of the BAC in July 2015.</w:t>
      </w:r>
    </w:p>
    <w:p w14:paraId="538F0330" w14:textId="77777777" w:rsidR="00537A0D" w:rsidRDefault="00537A0D" w:rsidP="004E7565">
      <w:pPr>
        <w:pStyle w:val="ListParagraph"/>
        <w:numPr>
          <w:ilvl w:val="0"/>
          <w:numId w:val="1"/>
        </w:numPr>
        <w:tabs>
          <w:tab w:val="clear" w:pos="720"/>
          <w:tab w:val="left" w:pos="700"/>
        </w:tabs>
        <w:spacing w:before="240"/>
        <w:ind w:left="360"/>
      </w:pPr>
      <w:r>
        <w:t xml:space="preserve">The </w:t>
      </w:r>
      <w:r>
        <w:rPr>
          <w:spacing w:val="-4"/>
        </w:rPr>
        <w:t xml:space="preserve">BAC COI Report </w:t>
      </w:r>
      <w:r>
        <w:t xml:space="preserve">and </w:t>
      </w:r>
      <w:r>
        <w:rPr>
          <w:spacing w:val="-3"/>
        </w:rPr>
        <w:t xml:space="preserve">the </w:t>
      </w:r>
      <w:r>
        <w:rPr>
          <w:spacing w:val="-4"/>
        </w:rPr>
        <w:t xml:space="preserve">Queensland Government response </w:t>
      </w:r>
      <w:r>
        <w:rPr>
          <w:spacing w:val="-3"/>
        </w:rPr>
        <w:t xml:space="preserve">were </w:t>
      </w:r>
      <w:r>
        <w:rPr>
          <w:spacing w:val="-4"/>
        </w:rPr>
        <w:t xml:space="preserve">released </w:t>
      </w:r>
      <w:r>
        <w:rPr>
          <w:spacing w:val="-3"/>
        </w:rPr>
        <w:t xml:space="preserve">on </w:t>
      </w:r>
      <w:r>
        <w:t xml:space="preserve">18 </w:t>
      </w:r>
      <w:r>
        <w:rPr>
          <w:spacing w:val="-3"/>
        </w:rPr>
        <w:t>July</w:t>
      </w:r>
      <w:r>
        <w:rPr>
          <w:spacing w:val="11"/>
        </w:rPr>
        <w:t xml:space="preserve"> </w:t>
      </w:r>
      <w:r>
        <w:rPr>
          <w:spacing w:val="-3"/>
        </w:rPr>
        <w:t xml:space="preserve">2016. </w:t>
      </w:r>
      <w:r>
        <w:t xml:space="preserve">The </w:t>
      </w:r>
      <w:r>
        <w:rPr>
          <w:spacing w:val="-4"/>
        </w:rPr>
        <w:t xml:space="preserve">Government response accepted </w:t>
      </w:r>
      <w:r>
        <w:rPr>
          <w:spacing w:val="-3"/>
        </w:rPr>
        <w:t xml:space="preserve">all six </w:t>
      </w:r>
      <w:r>
        <w:rPr>
          <w:spacing w:val="-4"/>
        </w:rPr>
        <w:t xml:space="preserve">recommendations </w:t>
      </w:r>
      <w:r>
        <w:rPr>
          <w:spacing w:val="-3"/>
        </w:rPr>
        <w:t xml:space="preserve">of the </w:t>
      </w:r>
      <w:r>
        <w:rPr>
          <w:spacing w:val="-4"/>
        </w:rPr>
        <w:t xml:space="preserve">BAC </w:t>
      </w:r>
      <w:r>
        <w:rPr>
          <w:spacing w:val="-2"/>
        </w:rPr>
        <w:t xml:space="preserve">COI </w:t>
      </w:r>
      <w:r>
        <w:rPr>
          <w:spacing w:val="-3"/>
        </w:rPr>
        <w:t xml:space="preserve">and </w:t>
      </w:r>
      <w:r>
        <w:rPr>
          <w:spacing w:val="-4"/>
        </w:rPr>
        <w:t xml:space="preserve">in September </w:t>
      </w:r>
      <w:r>
        <w:rPr>
          <w:spacing w:val="-3"/>
        </w:rPr>
        <w:t xml:space="preserve">2016, the </w:t>
      </w:r>
      <w:r>
        <w:rPr>
          <w:spacing w:val="-4"/>
        </w:rPr>
        <w:t xml:space="preserve">Government approved </w:t>
      </w:r>
      <w:r>
        <w:t xml:space="preserve">a </w:t>
      </w:r>
      <w:r>
        <w:rPr>
          <w:spacing w:val="-4"/>
        </w:rPr>
        <w:t xml:space="preserve">detailed </w:t>
      </w:r>
      <w:r>
        <w:rPr>
          <w:spacing w:val="-3"/>
        </w:rPr>
        <w:t xml:space="preserve">plan </w:t>
      </w:r>
      <w:r>
        <w:t>for</w:t>
      </w:r>
      <w:r>
        <w:rPr>
          <w:spacing w:val="11"/>
        </w:rPr>
        <w:t xml:space="preserve"> </w:t>
      </w:r>
      <w:r>
        <w:rPr>
          <w:spacing w:val="-4"/>
        </w:rPr>
        <w:t>implementation.</w:t>
      </w:r>
    </w:p>
    <w:p w14:paraId="307A2B0B" w14:textId="77777777" w:rsidR="00537A0D" w:rsidRDefault="00537A0D" w:rsidP="004E7565">
      <w:pPr>
        <w:pStyle w:val="ListParagraph"/>
        <w:numPr>
          <w:ilvl w:val="0"/>
          <w:numId w:val="1"/>
        </w:numPr>
        <w:tabs>
          <w:tab w:val="clear" w:pos="720"/>
          <w:tab w:val="left" w:pos="700"/>
        </w:tabs>
        <w:spacing w:before="240"/>
        <w:ind w:left="363" w:hanging="357"/>
      </w:pPr>
      <w:r>
        <w:t xml:space="preserve">The </w:t>
      </w:r>
      <w:r w:rsidRPr="00537A0D">
        <w:rPr>
          <w:spacing w:val="-4"/>
        </w:rPr>
        <w:t xml:space="preserve">Department </w:t>
      </w:r>
      <w:r w:rsidRPr="00537A0D">
        <w:rPr>
          <w:spacing w:val="-3"/>
        </w:rPr>
        <w:t xml:space="preserve">of </w:t>
      </w:r>
      <w:r w:rsidRPr="00537A0D">
        <w:rPr>
          <w:spacing w:val="-4"/>
        </w:rPr>
        <w:t xml:space="preserve">Health (DoH) </w:t>
      </w:r>
      <w:r w:rsidRPr="00537A0D">
        <w:rPr>
          <w:spacing w:val="-3"/>
        </w:rPr>
        <w:t xml:space="preserve">led </w:t>
      </w:r>
      <w:r w:rsidRPr="00537A0D">
        <w:rPr>
          <w:spacing w:val="-4"/>
        </w:rPr>
        <w:t xml:space="preserve">implementation </w:t>
      </w:r>
      <w:r w:rsidRPr="00537A0D">
        <w:rPr>
          <w:spacing w:val="-3"/>
        </w:rPr>
        <w:t xml:space="preserve">of the </w:t>
      </w:r>
      <w:r w:rsidRPr="00537A0D">
        <w:rPr>
          <w:spacing w:val="-4"/>
        </w:rPr>
        <w:t xml:space="preserve">Government response in collaboration with key agencies and the active engagement </w:t>
      </w:r>
      <w:r w:rsidRPr="00537A0D">
        <w:rPr>
          <w:spacing w:val="-3"/>
        </w:rPr>
        <w:t xml:space="preserve">of </w:t>
      </w:r>
      <w:r w:rsidRPr="00537A0D">
        <w:rPr>
          <w:spacing w:val="-4"/>
        </w:rPr>
        <w:t xml:space="preserve">consumers </w:t>
      </w:r>
      <w:r>
        <w:t xml:space="preserve">and </w:t>
      </w:r>
      <w:r w:rsidRPr="00537A0D">
        <w:rPr>
          <w:spacing w:val="-4"/>
        </w:rPr>
        <w:t xml:space="preserve">carers, </w:t>
      </w:r>
      <w:r>
        <w:rPr>
          <w:spacing w:val="-4"/>
        </w:rPr>
        <w:t>including</w:t>
      </w:r>
      <w:r w:rsidRPr="00537A0D">
        <w:rPr>
          <w:spacing w:val="-4"/>
        </w:rPr>
        <w:t xml:space="preserve"> </w:t>
      </w:r>
      <w:r w:rsidRPr="00537A0D">
        <w:rPr>
          <w:spacing w:val="-3"/>
        </w:rPr>
        <w:t xml:space="preserve">those </w:t>
      </w:r>
      <w:r w:rsidRPr="00537A0D">
        <w:rPr>
          <w:spacing w:val="-4"/>
        </w:rPr>
        <w:t xml:space="preserve">associated </w:t>
      </w:r>
      <w:r w:rsidRPr="00537A0D">
        <w:rPr>
          <w:spacing w:val="-3"/>
        </w:rPr>
        <w:t xml:space="preserve">with </w:t>
      </w:r>
      <w:r w:rsidRPr="00537A0D">
        <w:rPr>
          <w:spacing w:val="-4"/>
        </w:rPr>
        <w:t>the</w:t>
      </w:r>
      <w:r w:rsidRPr="00537A0D">
        <w:rPr>
          <w:spacing w:val="52"/>
        </w:rPr>
        <w:t xml:space="preserve"> </w:t>
      </w:r>
      <w:r w:rsidRPr="00537A0D">
        <w:rPr>
          <w:spacing w:val="-4"/>
        </w:rPr>
        <w:t>former BAC</w:t>
      </w:r>
      <w:r>
        <w:rPr>
          <w:spacing w:val="-4"/>
        </w:rPr>
        <w:t xml:space="preserve">. </w:t>
      </w:r>
    </w:p>
    <w:p w14:paraId="59D22055" w14:textId="77777777" w:rsidR="00537A0D" w:rsidRDefault="00537A0D" w:rsidP="004E7565">
      <w:pPr>
        <w:pStyle w:val="ListParagraph"/>
        <w:numPr>
          <w:ilvl w:val="0"/>
          <w:numId w:val="1"/>
        </w:numPr>
        <w:tabs>
          <w:tab w:val="clear" w:pos="720"/>
          <w:tab w:val="left" w:pos="700"/>
        </w:tabs>
        <w:spacing w:before="240"/>
        <w:ind w:left="360" w:right="336" w:hanging="357"/>
        <w:rPr>
          <w:lang w:val="en-AU"/>
        </w:rPr>
      </w:pPr>
      <w:r>
        <w:rPr>
          <w:u w:val="single"/>
        </w:rPr>
        <w:t>Cabinet noted</w:t>
      </w:r>
      <w:r>
        <w:t xml:space="preserve"> </w:t>
      </w:r>
      <w:r>
        <w:rPr>
          <w:lang w:val="en-AU"/>
        </w:rPr>
        <w:t>the six recommendations of the Government response to the Report of the BAC COI have been delivered.</w:t>
      </w:r>
    </w:p>
    <w:p w14:paraId="6D2F46D3" w14:textId="77777777" w:rsidR="00537A0D" w:rsidRDefault="00537A0D" w:rsidP="004E7565">
      <w:pPr>
        <w:pStyle w:val="ListParagraph"/>
        <w:numPr>
          <w:ilvl w:val="0"/>
          <w:numId w:val="1"/>
        </w:numPr>
        <w:tabs>
          <w:tab w:val="clear" w:pos="720"/>
          <w:tab w:val="left" w:pos="700"/>
        </w:tabs>
        <w:spacing w:before="240"/>
        <w:ind w:left="360" w:right="336"/>
      </w:pPr>
      <w:r>
        <w:rPr>
          <w:u w:val="single"/>
        </w:rPr>
        <w:t>Cabinet noted</w:t>
      </w:r>
      <w:r>
        <w:t xml:space="preserve"> reports regarding Recommendations 1 and 2 of the BAC COI.</w:t>
      </w:r>
    </w:p>
    <w:p w14:paraId="49BD06B6" w14:textId="77777777" w:rsidR="00537A0D" w:rsidRDefault="00537A0D" w:rsidP="004E7565">
      <w:pPr>
        <w:pStyle w:val="ListParagraph"/>
        <w:numPr>
          <w:ilvl w:val="0"/>
          <w:numId w:val="1"/>
        </w:numPr>
        <w:tabs>
          <w:tab w:val="clear" w:pos="720"/>
          <w:tab w:val="left" w:pos="700"/>
        </w:tabs>
        <w:spacing w:before="240"/>
        <w:ind w:left="360" w:right="336"/>
        <w:rPr>
          <w:lang w:val="en-AU"/>
        </w:rPr>
      </w:pPr>
      <w:r>
        <w:rPr>
          <w:u w:val="single"/>
        </w:rPr>
        <w:t>Cabinet noted</w:t>
      </w:r>
      <w:r>
        <w:t xml:space="preserve"> that </w:t>
      </w:r>
      <w:r>
        <w:rPr>
          <w:lang w:val="en-AU"/>
        </w:rPr>
        <w:t>implementation of key findings in relation to Recommendations 3, 5 and 6 that relate directly to the child and youth mental health services system will be overseen by a new inter-governmental Oversight Committee, chaired by the Department of Health.</w:t>
      </w:r>
    </w:p>
    <w:p w14:paraId="73B749E8" w14:textId="6881C6E8" w:rsidR="00537A0D" w:rsidRDefault="00537A0D" w:rsidP="004E7565">
      <w:pPr>
        <w:pStyle w:val="ListParagraph"/>
        <w:numPr>
          <w:ilvl w:val="0"/>
          <w:numId w:val="1"/>
        </w:numPr>
        <w:tabs>
          <w:tab w:val="clear" w:pos="720"/>
          <w:tab w:val="left" w:pos="700"/>
        </w:tabs>
        <w:spacing w:before="240"/>
        <w:ind w:left="360" w:right="336"/>
        <w:rPr>
          <w:lang w:val="en-AU"/>
        </w:rPr>
      </w:pPr>
      <w:r>
        <w:rPr>
          <w:u w:val="single"/>
        </w:rPr>
        <w:t>Cabinet noted</w:t>
      </w:r>
      <w:r>
        <w:t xml:space="preserve"> </w:t>
      </w:r>
      <w:r>
        <w:rPr>
          <w:lang w:val="en-AU"/>
        </w:rPr>
        <w:t>that in relation to Recommendation 4, to build a new bed-based facility in south-east Queensland, the 2017-18 Budget approved $68.2 million for a new adolescent mental health facility at The Prince Charles Hospital, two Step Up Step Down facilities in North and South Brisbane, and the refurbishment of two Day Program spaces at Gold Coast and Logan.</w:t>
      </w:r>
    </w:p>
    <w:p w14:paraId="55B8A36C" w14:textId="27624AB7" w:rsidR="00A50A56" w:rsidRPr="00A50A56" w:rsidRDefault="00A50A56" w:rsidP="00A50A56">
      <w:pPr>
        <w:pStyle w:val="ListParagraph"/>
        <w:numPr>
          <w:ilvl w:val="0"/>
          <w:numId w:val="1"/>
        </w:numPr>
        <w:tabs>
          <w:tab w:val="clear" w:pos="720"/>
          <w:tab w:val="left" w:pos="700"/>
        </w:tabs>
        <w:spacing w:before="360"/>
        <w:ind w:left="360" w:right="336"/>
        <w:rPr>
          <w:u w:val="single"/>
          <w:lang w:val="en-AU"/>
        </w:rPr>
      </w:pPr>
      <w:r w:rsidRPr="00A50A56">
        <w:rPr>
          <w:i/>
          <w:u w:val="single"/>
        </w:rPr>
        <w:t>Attachments</w:t>
      </w:r>
    </w:p>
    <w:p w14:paraId="00D91837" w14:textId="30703179" w:rsidR="00A50A56" w:rsidRPr="00A50A56" w:rsidRDefault="00A50A56" w:rsidP="00A50A56">
      <w:pPr>
        <w:pStyle w:val="ListParagraph"/>
        <w:numPr>
          <w:ilvl w:val="0"/>
          <w:numId w:val="4"/>
        </w:numPr>
        <w:tabs>
          <w:tab w:val="left" w:pos="700"/>
        </w:tabs>
        <w:spacing w:before="120"/>
        <w:ind w:right="336"/>
      </w:pPr>
      <w:r>
        <w:t>Nil.</w:t>
      </w:r>
    </w:p>
    <w:sectPr w:rsidR="00A50A56" w:rsidRPr="00A50A56" w:rsidSect="004E7565">
      <w:headerReference w:type="default" r:id="rId7"/>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5FAA9" w14:textId="77777777" w:rsidR="00E67C9F" w:rsidRDefault="00E67C9F" w:rsidP="004D7E06">
      <w:r>
        <w:separator/>
      </w:r>
    </w:p>
  </w:endnote>
  <w:endnote w:type="continuationSeparator" w:id="0">
    <w:p w14:paraId="4177A44D" w14:textId="77777777" w:rsidR="00E67C9F" w:rsidRDefault="00E67C9F" w:rsidP="004D7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12227" w14:textId="77777777" w:rsidR="00E67C9F" w:rsidRDefault="00E67C9F" w:rsidP="004D7E06">
      <w:r>
        <w:separator/>
      </w:r>
    </w:p>
  </w:footnote>
  <w:footnote w:type="continuationSeparator" w:id="0">
    <w:p w14:paraId="7D7D2B8A" w14:textId="77777777" w:rsidR="00E67C9F" w:rsidRDefault="00E67C9F" w:rsidP="004D7E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83FFF" w14:textId="0127DD28" w:rsidR="004D7E06" w:rsidRPr="003E3AAE" w:rsidRDefault="004D7E06" w:rsidP="00A50A56">
    <w:pPr>
      <w:pStyle w:val="Header"/>
      <w:pBdr>
        <w:top w:val="thinThickLargeGap" w:sz="24" w:space="6" w:color="auto"/>
        <w:left w:val="thinThickLargeGap" w:sz="24" w:space="4" w:color="auto"/>
        <w:bottom w:val="thickThinLargeGap" w:sz="24" w:space="4" w:color="auto"/>
        <w:right w:val="thickThinLargeGap" w:sz="24" w:space="4" w:color="auto"/>
      </w:pBdr>
      <w:tabs>
        <w:tab w:val="left" w:pos="2361"/>
        <w:tab w:val="left" w:pos="2512"/>
        <w:tab w:val="center" w:pos="4819"/>
        <w:tab w:val="right" w:pos="9072"/>
      </w:tabs>
      <w:jc w:val="center"/>
      <w:rPr>
        <w:rFonts w:ascii="Arial" w:hAnsi="Arial" w:cs="Arial"/>
        <w:b/>
        <w:sz w:val="28"/>
        <w:szCs w:val="22"/>
      </w:rPr>
    </w:pPr>
    <w:r w:rsidRPr="003E3AAE">
      <w:rPr>
        <w:rFonts w:ascii="Arial" w:hAnsi="Arial" w:cs="Arial"/>
        <w:b/>
        <w:sz w:val="28"/>
        <w:szCs w:val="22"/>
      </w:rPr>
      <w:t>Queensland Government</w:t>
    </w:r>
  </w:p>
  <w:p w14:paraId="656BE982" w14:textId="77777777" w:rsidR="004D7E06" w:rsidRPr="00D75134" w:rsidRDefault="004D7E06" w:rsidP="00A50A56">
    <w:pPr>
      <w:pStyle w:val="Header"/>
      <w:pBdr>
        <w:top w:val="thinThickLargeGap" w:sz="24" w:space="6" w:color="auto"/>
        <w:left w:val="thinThickLargeGap" w:sz="24" w:space="4" w:color="auto"/>
        <w:bottom w:val="thickThinLargeGap" w:sz="24" w:space="4" w:color="auto"/>
        <w:right w:val="thickThinLargeGap" w:sz="24" w:space="4" w:color="auto"/>
      </w:pBdr>
      <w:tabs>
        <w:tab w:val="right" w:pos="9072"/>
      </w:tabs>
      <w:jc w:val="center"/>
      <w:rPr>
        <w:rFonts w:ascii="Arial" w:hAnsi="Arial" w:cs="Arial"/>
        <w:b/>
        <w:sz w:val="14"/>
        <w:szCs w:val="22"/>
        <w:u w:val="single"/>
      </w:rPr>
    </w:pPr>
  </w:p>
  <w:p w14:paraId="77EA1230" w14:textId="77777777" w:rsidR="004D7E06" w:rsidRPr="001E209B" w:rsidRDefault="004D7E06" w:rsidP="004D7E06">
    <w:pPr>
      <w:pStyle w:val="Header"/>
      <w:pBdr>
        <w:top w:val="thinThickLargeGap" w:sz="24" w:space="6" w:color="auto"/>
        <w:left w:val="thinThickLargeGap" w:sz="24" w:space="4" w:color="auto"/>
        <w:bottom w:val="thickThinLargeGap" w:sz="24" w:space="4" w:color="auto"/>
        <w:right w:val="thickThinLargeGap" w:sz="24" w:space="4" w:color="auto"/>
      </w:pBdr>
      <w:tabs>
        <w:tab w:val="center" w:pos="0"/>
        <w:tab w:val="right" w:pos="9072"/>
      </w:tabs>
      <w:jc w:val="center"/>
      <w:rPr>
        <w:rFonts w:ascii="Arial" w:hAnsi="Arial" w:cs="Arial"/>
        <w:b/>
        <w:sz w:val="22"/>
        <w:szCs w:val="22"/>
      </w:rPr>
    </w:pPr>
    <w:r w:rsidRPr="001E209B">
      <w:rPr>
        <w:rFonts w:ascii="Arial" w:hAnsi="Arial" w:cs="Arial"/>
        <w:b/>
        <w:sz w:val="22"/>
        <w:szCs w:val="22"/>
      </w:rPr>
      <w:t xml:space="preserve">Cabinet – </w:t>
    </w:r>
    <w:r>
      <w:rPr>
        <w:rFonts w:ascii="Arial" w:hAnsi="Arial" w:cs="Arial"/>
        <w:b/>
        <w:sz w:val="22"/>
        <w:szCs w:val="22"/>
      </w:rPr>
      <w:t>October 2017</w:t>
    </w:r>
  </w:p>
  <w:p w14:paraId="69C8C634" w14:textId="77777777" w:rsidR="004D7E06" w:rsidRDefault="004D7E06" w:rsidP="004D7E06">
    <w:pPr>
      <w:keepLines/>
      <w:spacing w:before="120"/>
      <w:jc w:val="both"/>
      <w:rPr>
        <w:rFonts w:ascii="Arial" w:hAnsi="Arial" w:cs="Arial"/>
        <w:b/>
        <w:sz w:val="22"/>
        <w:szCs w:val="22"/>
        <w:u w:val="single"/>
      </w:rPr>
    </w:pPr>
    <w:r w:rsidRPr="00AC75FD">
      <w:rPr>
        <w:rFonts w:ascii="Arial" w:hAnsi="Arial" w:cs="Arial"/>
        <w:b/>
        <w:sz w:val="22"/>
        <w:szCs w:val="22"/>
        <w:u w:val="single"/>
      </w:rPr>
      <w:t>Delivery of the Government response to the Report of the Barrett Adolescent Centre Commission of Inquiry</w:t>
    </w:r>
  </w:p>
  <w:p w14:paraId="5668A204" w14:textId="77777777" w:rsidR="004D7E06" w:rsidRPr="001C4349" w:rsidRDefault="004D7E06" w:rsidP="004D7E06">
    <w:pPr>
      <w:keepLines/>
      <w:spacing w:before="120"/>
      <w:jc w:val="both"/>
      <w:rPr>
        <w:rFonts w:ascii="Arial" w:hAnsi="Arial" w:cs="Arial"/>
        <w:b/>
        <w:sz w:val="22"/>
        <w:szCs w:val="22"/>
        <w:u w:val="single"/>
      </w:rPr>
    </w:pPr>
    <w:r w:rsidRPr="001C4349">
      <w:rPr>
        <w:rFonts w:ascii="Arial" w:hAnsi="Arial" w:cs="Arial"/>
        <w:b/>
        <w:sz w:val="22"/>
        <w:szCs w:val="22"/>
        <w:u w:val="single"/>
      </w:rPr>
      <w:t xml:space="preserve">Minister for Health and Minister for Ambulance Services. </w:t>
    </w:r>
  </w:p>
  <w:p w14:paraId="071C473A" w14:textId="77777777" w:rsidR="004D7E06" w:rsidRPr="003E3AAE" w:rsidRDefault="004D7E06" w:rsidP="004D7E06">
    <w:pPr>
      <w:pStyle w:val="Header"/>
      <w:pBdr>
        <w:bottom w:val="single" w:sz="4" w:space="1" w:color="auto"/>
      </w:pBdr>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62061"/>
    <w:multiLevelType w:val="hybridMultilevel"/>
    <w:tmpl w:val="A77CF3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5DD7E22"/>
    <w:multiLevelType w:val="hybridMultilevel"/>
    <w:tmpl w:val="57561278"/>
    <w:lvl w:ilvl="0" w:tplc="C6482E2C">
      <w:start w:val="1"/>
      <w:numFmt w:val="decimal"/>
      <w:lvlText w:val="%1."/>
      <w:lvlJc w:val="left"/>
      <w:pPr>
        <w:ind w:left="699" w:hanging="360"/>
      </w:pPr>
      <w:rPr>
        <w:rFonts w:ascii="Arial" w:eastAsia="Arial" w:hAnsi="Arial" w:cs="Arial" w:hint="default"/>
        <w:spacing w:val="-3"/>
        <w:w w:val="100"/>
        <w:sz w:val="22"/>
        <w:szCs w:val="22"/>
      </w:rPr>
    </w:lvl>
    <w:lvl w:ilvl="1" w:tplc="9D203F08">
      <w:numFmt w:val="bullet"/>
      <w:lvlText w:val="•"/>
      <w:lvlJc w:val="left"/>
      <w:pPr>
        <w:ind w:left="1600" w:hanging="360"/>
      </w:pPr>
    </w:lvl>
    <w:lvl w:ilvl="2" w:tplc="AB9CE970">
      <w:numFmt w:val="bullet"/>
      <w:lvlText w:val="•"/>
      <w:lvlJc w:val="left"/>
      <w:pPr>
        <w:ind w:left="2501" w:hanging="360"/>
      </w:pPr>
    </w:lvl>
    <w:lvl w:ilvl="3" w:tplc="2F7ADB54">
      <w:numFmt w:val="bullet"/>
      <w:lvlText w:val="•"/>
      <w:lvlJc w:val="left"/>
      <w:pPr>
        <w:ind w:left="3401" w:hanging="360"/>
      </w:pPr>
    </w:lvl>
    <w:lvl w:ilvl="4" w:tplc="BDC6FD42">
      <w:numFmt w:val="bullet"/>
      <w:lvlText w:val="•"/>
      <w:lvlJc w:val="left"/>
      <w:pPr>
        <w:ind w:left="4302" w:hanging="360"/>
      </w:pPr>
    </w:lvl>
    <w:lvl w:ilvl="5" w:tplc="64047C22">
      <w:numFmt w:val="bullet"/>
      <w:lvlText w:val="•"/>
      <w:lvlJc w:val="left"/>
      <w:pPr>
        <w:ind w:left="5203" w:hanging="360"/>
      </w:pPr>
    </w:lvl>
    <w:lvl w:ilvl="6" w:tplc="882A4938">
      <w:numFmt w:val="bullet"/>
      <w:lvlText w:val="•"/>
      <w:lvlJc w:val="left"/>
      <w:pPr>
        <w:ind w:left="6103" w:hanging="360"/>
      </w:pPr>
    </w:lvl>
    <w:lvl w:ilvl="7" w:tplc="81DA1954">
      <w:numFmt w:val="bullet"/>
      <w:lvlText w:val="•"/>
      <w:lvlJc w:val="left"/>
      <w:pPr>
        <w:ind w:left="7004" w:hanging="360"/>
      </w:pPr>
    </w:lvl>
    <w:lvl w:ilvl="8" w:tplc="F8DCA92E">
      <w:numFmt w:val="bullet"/>
      <w:lvlText w:val="•"/>
      <w:lvlJc w:val="left"/>
      <w:pPr>
        <w:ind w:left="7905" w:hanging="360"/>
      </w:pPr>
    </w:lvl>
  </w:abstractNum>
  <w:abstractNum w:abstractNumId="2" w15:restartNumberingAfterBreak="0">
    <w:nsid w:val="7F176F87"/>
    <w:multiLevelType w:val="hybridMultilevel"/>
    <w:tmpl w:val="2396ACA6"/>
    <w:lvl w:ilvl="0" w:tplc="0C09000F">
      <w:start w:val="1"/>
      <w:numFmt w:val="decimal"/>
      <w:lvlText w:val="%1."/>
      <w:lvlJc w:val="left"/>
      <w:pPr>
        <w:tabs>
          <w:tab w:val="num" w:pos="720"/>
        </w:tabs>
        <w:ind w:left="720" w:hanging="360"/>
      </w:pPr>
      <w:rPr>
        <w:rFonts w:cs="Times New Roman"/>
      </w:rPr>
    </w:lvl>
    <w:lvl w:ilvl="1" w:tplc="8F02EAEE">
      <w:start w:val="1"/>
      <w:numFmt w:val="decimal"/>
      <w:lvlText w:val="%2."/>
      <w:lvlJc w:val="left"/>
      <w:pPr>
        <w:tabs>
          <w:tab w:val="num" w:pos="1443"/>
        </w:tabs>
        <w:ind w:left="1443" w:hanging="363"/>
      </w:pPr>
      <w:rPr>
        <w:rFonts w:cs="Times New Roman" w:hint="default"/>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7E06"/>
    <w:rsid w:val="00081DA1"/>
    <w:rsid w:val="000C087A"/>
    <w:rsid w:val="00241E2A"/>
    <w:rsid w:val="002858F3"/>
    <w:rsid w:val="002C26A5"/>
    <w:rsid w:val="004540B0"/>
    <w:rsid w:val="004D7E06"/>
    <w:rsid w:val="004E7565"/>
    <w:rsid w:val="00537A0D"/>
    <w:rsid w:val="0056798B"/>
    <w:rsid w:val="00736D7B"/>
    <w:rsid w:val="007D6CF3"/>
    <w:rsid w:val="00A046C2"/>
    <w:rsid w:val="00A229AF"/>
    <w:rsid w:val="00A50A56"/>
    <w:rsid w:val="00E67C9F"/>
    <w:rsid w:val="00FF1E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1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7E06"/>
    <w:rPr>
      <w:rFonts w:ascii="Times New Roman" w:eastAsia="Times New Roman" w:hAnsi="Times New Roman" w:cs="Times New Roman"/>
      <w:color w:val="000000"/>
      <w:sz w:val="24"/>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7E06"/>
    <w:pPr>
      <w:tabs>
        <w:tab w:val="center" w:pos="4513"/>
        <w:tab w:val="right" w:pos="9026"/>
      </w:tabs>
    </w:pPr>
  </w:style>
  <w:style w:type="character" w:customStyle="1" w:styleId="HeaderChar">
    <w:name w:val="Header Char"/>
    <w:basedOn w:val="DefaultParagraphFont"/>
    <w:link w:val="Header"/>
    <w:uiPriority w:val="99"/>
    <w:rsid w:val="004D7E06"/>
    <w:rPr>
      <w:rFonts w:ascii="Times New Roman" w:eastAsia="Times New Roman" w:hAnsi="Times New Roman" w:cs="Times New Roman"/>
      <w:color w:val="000000"/>
      <w:sz w:val="24"/>
      <w:szCs w:val="20"/>
      <w:lang w:eastAsia="en-AU"/>
    </w:rPr>
  </w:style>
  <w:style w:type="paragraph" w:styleId="Footer">
    <w:name w:val="footer"/>
    <w:basedOn w:val="Normal"/>
    <w:link w:val="FooterChar"/>
    <w:uiPriority w:val="99"/>
    <w:unhideWhenUsed/>
    <w:rsid w:val="004D7E06"/>
    <w:pPr>
      <w:tabs>
        <w:tab w:val="center" w:pos="4513"/>
        <w:tab w:val="right" w:pos="9026"/>
      </w:tabs>
    </w:pPr>
  </w:style>
  <w:style w:type="character" w:customStyle="1" w:styleId="FooterChar">
    <w:name w:val="Footer Char"/>
    <w:basedOn w:val="DefaultParagraphFont"/>
    <w:link w:val="Footer"/>
    <w:uiPriority w:val="99"/>
    <w:rsid w:val="004D7E06"/>
    <w:rPr>
      <w:rFonts w:ascii="Times New Roman" w:eastAsia="Times New Roman" w:hAnsi="Times New Roman" w:cs="Times New Roman"/>
      <w:color w:val="000000"/>
      <w:sz w:val="24"/>
      <w:szCs w:val="20"/>
      <w:lang w:eastAsia="en-AU"/>
    </w:rPr>
  </w:style>
  <w:style w:type="paragraph" w:styleId="CommentText">
    <w:name w:val="annotation text"/>
    <w:basedOn w:val="Normal"/>
    <w:link w:val="CommentTextChar"/>
    <w:uiPriority w:val="99"/>
    <w:semiHidden/>
    <w:unhideWhenUsed/>
    <w:rsid w:val="00537A0D"/>
    <w:pPr>
      <w:widowControl w:val="0"/>
      <w:autoSpaceDE w:val="0"/>
      <w:autoSpaceDN w:val="0"/>
    </w:pPr>
    <w:rPr>
      <w:rFonts w:ascii="Arial" w:eastAsia="Arial" w:hAnsi="Arial" w:cs="Arial"/>
      <w:color w:val="auto"/>
      <w:sz w:val="20"/>
      <w:lang w:val="en-US" w:eastAsia="en-US"/>
    </w:rPr>
  </w:style>
  <w:style w:type="character" w:customStyle="1" w:styleId="CommentTextChar">
    <w:name w:val="Comment Text Char"/>
    <w:basedOn w:val="DefaultParagraphFont"/>
    <w:link w:val="CommentText"/>
    <w:uiPriority w:val="99"/>
    <w:semiHidden/>
    <w:rsid w:val="00537A0D"/>
    <w:rPr>
      <w:rFonts w:ascii="Arial" w:eastAsia="Arial" w:hAnsi="Arial" w:cs="Arial"/>
      <w:sz w:val="20"/>
      <w:szCs w:val="20"/>
      <w:lang w:val="en-US"/>
    </w:rPr>
  </w:style>
  <w:style w:type="paragraph" w:styleId="BodyText">
    <w:name w:val="Body Text"/>
    <w:basedOn w:val="Normal"/>
    <w:link w:val="BodyTextChar"/>
    <w:uiPriority w:val="1"/>
    <w:semiHidden/>
    <w:unhideWhenUsed/>
    <w:qFormat/>
    <w:rsid w:val="00537A0D"/>
    <w:pPr>
      <w:widowControl w:val="0"/>
      <w:autoSpaceDE w:val="0"/>
      <w:autoSpaceDN w:val="0"/>
    </w:pPr>
    <w:rPr>
      <w:rFonts w:ascii="Arial" w:eastAsia="Arial" w:hAnsi="Arial" w:cs="Arial"/>
      <w:color w:val="auto"/>
      <w:sz w:val="22"/>
      <w:szCs w:val="22"/>
      <w:lang w:val="en-US" w:eastAsia="en-US"/>
    </w:rPr>
  </w:style>
  <w:style w:type="character" w:customStyle="1" w:styleId="BodyTextChar">
    <w:name w:val="Body Text Char"/>
    <w:basedOn w:val="DefaultParagraphFont"/>
    <w:link w:val="BodyText"/>
    <w:uiPriority w:val="1"/>
    <w:semiHidden/>
    <w:rsid w:val="00537A0D"/>
    <w:rPr>
      <w:rFonts w:ascii="Arial" w:eastAsia="Arial" w:hAnsi="Arial" w:cs="Arial"/>
      <w:lang w:val="en-US"/>
    </w:rPr>
  </w:style>
  <w:style w:type="paragraph" w:styleId="ListParagraph">
    <w:name w:val="List Paragraph"/>
    <w:basedOn w:val="Normal"/>
    <w:uiPriority w:val="1"/>
    <w:qFormat/>
    <w:rsid w:val="00537A0D"/>
    <w:pPr>
      <w:widowControl w:val="0"/>
      <w:autoSpaceDE w:val="0"/>
      <w:autoSpaceDN w:val="0"/>
      <w:ind w:left="699" w:right="335" w:hanging="360"/>
      <w:jc w:val="both"/>
    </w:pPr>
    <w:rPr>
      <w:rFonts w:ascii="Arial" w:eastAsia="Arial" w:hAnsi="Arial" w:cs="Arial"/>
      <w:color w:val="auto"/>
      <w:sz w:val="22"/>
      <w:szCs w:val="22"/>
      <w:lang w:val="en-US" w:eastAsia="en-US"/>
    </w:rPr>
  </w:style>
  <w:style w:type="character" w:styleId="CommentReference">
    <w:name w:val="annotation reference"/>
    <w:basedOn w:val="DefaultParagraphFont"/>
    <w:uiPriority w:val="99"/>
    <w:semiHidden/>
    <w:unhideWhenUsed/>
    <w:rsid w:val="00537A0D"/>
    <w:rPr>
      <w:sz w:val="16"/>
      <w:szCs w:val="16"/>
    </w:rPr>
  </w:style>
  <w:style w:type="paragraph" w:styleId="BalloonText">
    <w:name w:val="Balloon Text"/>
    <w:basedOn w:val="Normal"/>
    <w:link w:val="BalloonTextChar"/>
    <w:uiPriority w:val="99"/>
    <w:semiHidden/>
    <w:unhideWhenUsed/>
    <w:rsid w:val="00537A0D"/>
    <w:rPr>
      <w:rFonts w:ascii="Tahoma" w:hAnsi="Tahoma" w:cs="Tahoma"/>
      <w:sz w:val="16"/>
      <w:szCs w:val="16"/>
    </w:rPr>
  </w:style>
  <w:style w:type="character" w:customStyle="1" w:styleId="BalloonTextChar">
    <w:name w:val="Balloon Text Char"/>
    <w:basedOn w:val="DefaultParagraphFont"/>
    <w:link w:val="BalloonText"/>
    <w:uiPriority w:val="99"/>
    <w:semiHidden/>
    <w:rsid w:val="00537A0D"/>
    <w:rPr>
      <w:rFonts w:ascii="Tahoma" w:eastAsia="Times New Roman" w:hAnsi="Tahoma" w:cs="Tahoma"/>
      <w:color w:val="000000"/>
      <w:sz w:val="16"/>
      <w:szCs w:val="16"/>
      <w:lang w:eastAsia="en-AU"/>
    </w:rPr>
  </w:style>
  <w:style w:type="paragraph" w:styleId="CommentSubject">
    <w:name w:val="annotation subject"/>
    <w:basedOn w:val="CommentText"/>
    <w:next w:val="CommentText"/>
    <w:link w:val="CommentSubjectChar"/>
    <w:uiPriority w:val="99"/>
    <w:semiHidden/>
    <w:unhideWhenUsed/>
    <w:rsid w:val="0056798B"/>
    <w:pPr>
      <w:widowControl/>
      <w:autoSpaceDE/>
      <w:autoSpaceDN/>
    </w:pPr>
    <w:rPr>
      <w:rFonts w:ascii="Times New Roman" w:eastAsia="Times New Roman" w:hAnsi="Times New Roman" w:cs="Times New Roman"/>
      <w:b/>
      <w:bCs/>
      <w:color w:val="000000"/>
      <w:lang w:val="en-AU" w:eastAsia="en-AU"/>
    </w:rPr>
  </w:style>
  <w:style w:type="character" w:customStyle="1" w:styleId="CommentSubjectChar">
    <w:name w:val="Comment Subject Char"/>
    <w:basedOn w:val="CommentTextChar"/>
    <w:link w:val="CommentSubject"/>
    <w:uiPriority w:val="99"/>
    <w:semiHidden/>
    <w:rsid w:val="0056798B"/>
    <w:rPr>
      <w:rFonts w:ascii="Times New Roman" w:eastAsia="Times New Roman" w:hAnsi="Times New Roman" w:cs="Times New Roman"/>
      <w:b/>
      <w:bCs/>
      <w:color w:val="000000"/>
      <w:sz w:val="20"/>
      <w:szCs w:val="20"/>
      <w:lang w:val="en-US"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06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281</Words>
  <Characters>1500</Characters>
  <Application>Microsoft Office Word</Application>
  <DocSecurity>0</DocSecurity>
  <Lines>25</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1774</CharactersWithSpaces>
  <SharedDoc>false</SharedDoc>
  <HyperlinkBase>https://www.cabinet.qld.gov.au/documents/2017/Oct/Barresp/</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6</cp:revision>
  <cp:lastPrinted>2018-02-12T06:57:00Z</cp:lastPrinted>
  <dcterms:created xsi:type="dcterms:W3CDTF">2017-09-18T03:31:00Z</dcterms:created>
  <dcterms:modified xsi:type="dcterms:W3CDTF">2018-04-27T01:29:00Z</dcterms:modified>
  <cp:category>Health,Youth</cp:category>
</cp:coreProperties>
</file>